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1F4E79"/>
        </w:rPr>
        <w:t>Product Scope Approval Register</w:t>
      </w:r>
    </w:p>
    <w:p>
      <w:pPr>
        <w:spacing w:after="40"/>
        <w:jc w:val="center"/>
      </w:pPr>
      <w:r>
        <w:rPr>
          <w:b/>
          <w:color w:val="1F1F1F"/>
          <w:sz w:val="20"/>
        </w:rPr>
        <w:t xml:space="preserve">Product: </w:t>
      </w:r>
      <w:r>
        <w:rPr>
          <w:color w:val="1F1F1F"/>
          <w:sz w:val="20"/>
        </w:rPr>
        <w:t xml:space="preserve">Flight Booking Platform  </w:t>
      </w:r>
    </w:p>
    <w:p>
      <w:pPr>
        <w:spacing w:after="40"/>
        <w:jc w:val="center"/>
      </w:pPr>
      <w:r>
        <w:rPr>
          <w:b/>
          <w:color w:val="1F1F1F"/>
          <w:sz w:val="20"/>
        </w:rPr>
        <w:t xml:space="preserve">Version: </w:t>
      </w:r>
      <w:r>
        <w:rPr>
          <w:color w:val="1F1F1F"/>
          <w:sz w:val="20"/>
        </w:rPr>
        <w:t xml:space="preserve">3.0  </w:t>
      </w:r>
    </w:p>
    <w:p>
      <w:pPr>
        <w:spacing w:after="40"/>
        <w:jc w:val="center"/>
      </w:pPr>
      <w:r>
        <w:rPr>
          <w:b/>
          <w:color w:val="1F1F1F"/>
          <w:sz w:val="20"/>
        </w:rPr>
        <w:t xml:space="preserve">Date: </w:t>
      </w:r>
      <w:r>
        <w:rPr>
          <w:color w:val="1F1F1F"/>
          <w:sz w:val="20"/>
        </w:rPr>
        <w:t xml:space="preserve">2026-03-09  </w:t>
      </w:r>
    </w:p>
    <w:p>
      <w:pPr>
        <w:spacing w:after="40"/>
        <w:jc w:val="center"/>
      </w:pPr>
      <w:r>
        <w:rPr>
          <w:b/>
          <w:color w:val="1F1F1F"/>
          <w:sz w:val="20"/>
        </w:rPr>
        <w:t xml:space="preserve">Document Type: </w:t>
      </w:r>
      <w:r>
        <w:rPr>
          <w:color w:val="1F1F1F"/>
          <w:sz w:val="20"/>
        </w:rPr>
        <w:t>Commercial scope-freeze and approval register (not a PRD)</w:t>
      </w:r>
    </w:p>
    <w:p>
      <w:pPr>
        <w:spacing w:before="120" w:after="200"/>
        <w:jc w:val="center"/>
      </w:pPr>
      <w:r>
        <w:rPr>
          <w:i/>
          <w:color w:val="5A6B7B"/>
          <w:sz w:val="20"/>
        </w:rPr>
        <w:t>Alignment basis: Product Model v3.0 and PRD v3.0</w:t>
      </w:r>
    </w:p>
    <w:p>
      <w:pPr>
        <w:spacing w:after="160"/>
        <w:pBdr>
          <w:bottom w:val="single" w:sz="18" w:space="1" w:color="1F4E79"/>
        </w:pBdr>
      </w:pPr>
      <w:r/>
    </w:p>
    <w:p>
      <w:pPr>
        <w:spacing w:after="40" w:line="269" w:lineRule="auto"/>
      </w:pPr>
      <w:r>
        <w:rPr>
          <w:rFonts w:ascii="Aptos" w:hAnsi="Aptos"/>
          <w:b/>
          <w:color w:val="1F1F1F"/>
          <w:sz w:val="19"/>
        </w:rPr>
        <w:t>Alignment basis:</w:t>
      </w:r>
      <w:r>
        <w:rPr>
          <w:rFonts w:ascii="Aptos" w:hAnsi="Aptos"/>
          <w:color w:val="1F1F1F"/>
          <w:sz w:val="19"/>
        </w:rPr>
        <w:t xml:space="preserve"> Product Model v3.0 and PRD v3.0.</w:t>
      </w: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1. Executive Scope-Freeze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2581"/>
        <w:gridCol w:w="2581"/>
        <w:gridCol w:w="2581"/>
        <w:gridCol w:w="2581"/>
      </w:tblGrid>
      <w:tr>
        <w:trPr>
          <w:tblHeader w:val="true"/>
        </w:trPr>
        <w:tc>
          <w:tcPr>
            <w:tcW w:type="dxa" w:w="185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Decision Area</w:t>
            </w:r>
          </w:p>
        </w:tc>
        <w:tc>
          <w:tcPr>
            <w:tcW w:type="dxa" w:w="3501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Approved Direction</w:t>
            </w:r>
          </w:p>
        </w:tc>
        <w:tc>
          <w:tcPr>
            <w:tcW w:type="dxa" w:w="1441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Approval</w:t>
            </w:r>
          </w:p>
        </w:tc>
        <w:tc>
          <w:tcPr>
            <w:tcW w:type="dxa" w:w="3501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Notes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Authoritative baseline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Product Model v3.0 + PRD v3.0</w:t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These documents supersede redirect-era assumptions and govern scope interpretation for current planning.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Product model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Verteil-powered direct-booking flight retail and servicing platform</w:t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Checkout, payment, booking continuity, support, and commercial controls are core scope, not future exceptions.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Primary supply model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Verteil-first supply and servicing backbone</w:t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Launch with Verteil as the initial provider path; broader multi-provider expansion is later by default.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Checkout model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On-platform checkout with payment orchestration</w:t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The governing journey is search → validate/reprice → pay/reserve credit → book → confirm → manage → service.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Commercial model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Direct transaction revenue</w:t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Primary economics are markup, service fee, negotiated margin, and approved commercial program economics; click-out/affiliate is not the governing baseline.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Role model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Consumer + Agent + Admin/Ops</w:t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The platform must support B2C and B2B/B2B2C operating layers with finance, support, and security workflows.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Launch language / locale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English-first UI; localization preferences allowed</w:t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English-only launch remains acceptable, while currency and localization preferences are still in scope.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Support model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Ticket-led support mandatory; live chat optional</w:t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Unified support ticketing is current scope; universal live chat is not a required MVP baseline.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Later-by-default record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Multiple Providers + AI only</w:t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These are the only default later buckets unless explicitly approved to move forward.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2. Governing Alignment Summary</w:t>
      </w:r>
    </w:p>
    <w:p>
      <w:pPr>
        <w:pStyle w:val="ListBullet"/>
        <w:spacing w:after="40" w:line="269" w:lineRule="auto"/>
      </w:pPr>
      <w:r>
        <w:rPr>
          <w:rFonts w:ascii="Aptos" w:hAnsi="Aptos"/>
          <w:color w:val="1F1F1F"/>
          <w:sz w:val="19"/>
        </w:rPr>
        <w:t>The old approval-register structure has been rebuilt around the v3 direct-booking model rather than lightly edited.</w:t>
      </w:r>
    </w:p>
    <w:p>
      <w:pPr>
        <w:pStyle w:val="ListBullet"/>
        <w:spacing w:after="40" w:line="269" w:lineRule="auto"/>
      </w:pPr>
      <w:r>
        <w:rPr>
          <w:rFonts w:ascii="Aptos" w:hAnsi="Aptos"/>
          <w:color w:val="1F1F1F"/>
          <w:sz w:val="19"/>
        </w:rPr>
        <w:t>The approved product position is a Verteil-powered, direct-booking, flight retail and servicing platform with platform-owned checkout, payment, booking continuity, markup/discount/credit governance, unified support ticketing, and Admin/Agent/User operating layers.</w:t>
      </w:r>
    </w:p>
    <w:p>
      <w:pPr>
        <w:pStyle w:val="ListBullet"/>
        <w:spacing w:after="40" w:line="269" w:lineRule="auto"/>
      </w:pPr>
      <w:r>
        <w:rPr>
          <w:rFonts w:ascii="Aptos" w:hAnsi="Aptos"/>
          <w:color w:val="1F1F1F"/>
          <w:sz w:val="19"/>
        </w:rPr>
        <w:t>Only two capability buckets remain later by default: Multiple Providers beyond Verteil, and AI.</w:t>
      </w: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3.1 Core Search, Results, Transparency &amp; Merchandising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1475"/>
        <w:gridCol w:w="1475"/>
        <w:gridCol w:w="1475"/>
        <w:gridCol w:w="1475"/>
        <w:gridCol w:w="1475"/>
        <w:gridCol w:w="1475"/>
        <w:gridCol w:w="1475"/>
      </w:tblGrid>
      <w:tr>
        <w:trPr>
          <w:tblHeader w:val="true"/>
        </w:trPr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Domain</w:t>
            </w:r>
          </w:p>
        </w:tc>
        <w:tc>
          <w:tcPr>
            <w:tcW w:type="dxa" w:w="2039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Capability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Scope Status</w:t>
            </w:r>
          </w:p>
        </w:tc>
        <w:tc>
          <w:tcPr>
            <w:tcW w:type="dxa" w:w="193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Dependency / Gate</w:t>
            </w:r>
          </w:p>
        </w:tc>
        <w:tc>
          <w:tcPr>
            <w:tcW w:type="dxa" w:w="142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Business Effect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Approval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Core Search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One-way, round-trip, and multi-city search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Supplier-backed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Conversion / parity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Core Search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Passenger &amp; cabin selection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None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Usability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Low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Core Search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Airport autocomplete + nearby airport assist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Airport data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Conversion / parity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Low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Core Search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Flexible dates / calendar pricing support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Supplier + UX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Conversion / trust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Results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Filters: price, stops, airline, departure/arrival, duration, layover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Search core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Parity / usability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Low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Results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Sorting: price, duration, departure/arrival, best value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Ranking rules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Conversion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Transparency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Fare breakdown, baggage, restrictions / refundability visibility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Supplier-dependent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Trust / compliance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Validation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Reprice / validate before checkout or payment confirmation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Supplier + booking flow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Trust / dispute reduction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Continuity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Booking continuity after checkout with itinerary / status visibility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Booking core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Trust / retention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3.2 Checkout, Payment, Booking &amp; Servicing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1475"/>
        <w:gridCol w:w="1475"/>
        <w:gridCol w:w="1475"/>
        <w:gridCol w:w="1475"/>
        <w:gridCol w:w="1475"/>
        <w:gridCol w:w="1475"/>
        <w:gridCol w:w="1475"/>
      </w:tblGrid>
      <w:tr>
        <w:trPr>
          <w:tblHeader w:val="true"/>
        </w:trPr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Domain</w:t>
            </w:r>
          </w:p>
        </w:tc>
        <w:tc>
          <w:tcPr>
            <w:tcW w:type="dxa" w:w="2039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Capability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Scope Status</w:t>
            </w:r>
          </w:p>
        </w:tc>
        <w:tc>
          <w:tcPr>
            <w:tcW w:type="dxa" w:w="193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Dependency / Gate</w:t>
            </w:r>
          </w:p>
        </w:tc>
        <w:tc>
          <w:tcPr>
            <w:tcW w:type="dxa" w:w="142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Business Effect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Approval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Checkout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Traveler details capture inside platform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Checkout core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Transaction completion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Payments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Payment gateway integration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Gateway + legal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Revenue realization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Payments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Payment intent / auth / capture / failure / refund / reversal tracking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Payment state machine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Finance / support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Booking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Verteil-backed booking creation and confirmation / ticket visibility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Verteil + supplier support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Core product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Booking Mgmt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Booking retrieval / management portal visibility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Order store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Support / retention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Servicing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Cancel / refund / reschedule / modify flows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MVP-Gated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Supplier support + ops playbooks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Trust / retention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Servicing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Ancillaries where supported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MVP-Gated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Supplier-dependent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Margin / parity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Held / Pay-later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Held booking / pay-later paths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MVP-Gated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Market + supplier + finance approval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Conversion / B2B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Notifications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Booking confirmation and status notifications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Email baseline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Trust / support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3.3 Roles, Identity, Portals &amp; Security Controls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1475"/>
        <w:gridCol w:w="1475"/>
        <w:gridCol w:w="1475"/>
        <w:gridCol w:w="1475"/>
        <w:gridCol w:w="1475"/>
        <w:gridCol w:w="1475"/>
        <w:gridCol w:w="1475"/>
      </w:tblGrid>
      <w:tr>
        <w:trPr>
          <w:tblHeader w:val="true"/>
        </w:trPr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Domain</w:t>
            </w:r>
          </w:p>
        </w:tc>
        <w:tc>
          <w:tcPr>
            <w:tcW w:type="dxa" w:w="2039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Capability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Scope Status</w:t>
            </w:r>
          </w:p>
        </w:tc>
        <w:tc>
          <w:tcPr>
            <w:tcW w:type="dxa" w:w="193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Dependency / Gate</w:t>
            </w:r>
          </w:p>
        </w:tc>
        <w:tc>
          <w:tcPr>
            <w:tcW w:type="dxa" w:w="142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Business Effect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Approval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Identity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Consumer authentication and profile management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Auth service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Continuity / retention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Low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Identity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Agent organization model and sub-user controls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RBAC + org model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B2B enablement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Identity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Admin / Ops portal with provider, booking, finance, and support oversight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RBAC + admin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Operational control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Security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MFA / 2FA support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Auth + policy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Security / compliance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Security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SSO activation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MVP-Gated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Identity provider + policy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Enterprise / internal ops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Experience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Consumer web, Agent workspace, and Admin/Ops experience layers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Portal segmentation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Role clarity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3.4 Commercial, Finance, Credit &amp; Settlement Controls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1475"/>
        <w:gridCol w:w="1475"/>
        <w:gridCol w:w="1475"/>
        <w:gridCol w:w="1475"/>
        <w:gridCol w:w="1475"/>
        <w:gridCol w:w="1475"/>
        <w:gridCol w:w="1475"/>
      </w:tblGrid>
      <w:tr>
        <w:trPr>
          <w:tblHeader w:val="true"/>
        </w:trPr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Domain</w:t>
            </w:r>
          </w:p>
        </w:tc>
        <w:tc>
          <w:tcPr>
            <w:tcW w:type="dxa" w:w="2039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Capability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Scope Status</w:t>
            </w:r>
          </w:p>
        </w:tc>
        <w:tc>
          <w:tcPr>
            <w:tcW w:type="dxa" w:w="193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Dependency / Gate</w:t>
            </w:r>
          </w:p>
        </w:tc>
        <w:tc>
          <w:tcPr>
            <w:tcW w:type="dxa" w:w="142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Business Effect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Approval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Pricing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Markup governance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Policy engine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Primary revenue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Pricing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Discount management including corporate/private fares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MVP-Gated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Commercial approval + supplier support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Revenue / channel strategy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Finance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Agent credit ledger: top-up, approval, reserve, consume, release, adjust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Finance approval + ledger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B2B transaction model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Finance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Settlement reporting and booking-linked financial traceability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Finance data model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Reconciliation / control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Revenue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Service fee configuration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Pricing rules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Revenue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Reporting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Operational and financial reports / exports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Reporting layer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Ops / finance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Governance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Merchant-of-record and liability model approval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Formal Decision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Legal + finance + commercial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Risk envelope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3.5 Support, Operations, Audit, Integration &amp; Reporting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1475"/>
        <w:gridCol w:w="1475"/>
        <w:gridCol w:w="1475"/>
        <w:gridCol w:w="1475"/>
        <w:gridCol w:w="1475"/>
        <w:gridCol w:w="1475"/>
        <w:gridCol w:w="1475"/>
      </w:tblGrid>
      <w:tr>
        <w:trPr>
          <w:tblHeader w:val="true"/>
        </w:trPr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Domain</w:t>
            </w:r>
          </w:p>
        </w:tc>
        <w:tc>
          <w:tcPr>
            <w:tcW w:type="dxa" w:w="2039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Capability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Scope Status</w:t>
            </w:r>
          </w:p>
        </w:tc>
        <w:tc>
          <w:tcPr>
            <w:tcW w:type="dxa" w:w="193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Dependency / Gate</w:t>
            </w:r>
          </w:p>
        </w:tc>
        <w:tc>
          <w:tcPr>
            <w:tcW w:type="dxa" w:w="142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Business Effect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Approval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Support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Unified support ticketing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Ops workflow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Supportability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Support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Support routing by booking / payment / credit / servicing category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Ticket rules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Operational continuity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Audit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Immutable audit logs for sensitive actions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Audit store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Security / compliance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Integration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CDC / webhooks / status sync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Provider + event pipeline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Continuity / reporting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Operations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Provider / service configuration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Admin controls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Operational control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Operations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Observability: logs, metrics, traces, alert thresholds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Platform ops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Reliability / incident response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Data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Data retention policy for search, booking, audit, support, finance artifacts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Formal Decision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Legal + security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Compliance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3.6 Growth, Promotions, SEO &amp; Optional Commercial Surfaces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1475"/>
        <w:gridCol w:w="1475"/>
        <w:gridCol w:w="1475"/>
        <w:gridCol w:w="1475"/>
        <w:gridCol w:w="1475"/>
        <w:gridCol w:w="1475"/>
        <w:gridCol w:w="1475"/>
      </w:tblGrid>
      <w:tr>
        <w:trPr>
          <w:tblHeader w:val="true"/>
        </w:trPr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Domain</w:t>
            </w:r>
          </w:p>
        </w:tc>
        <w:tc>
          <w:tcPr>
            <w:tcW w:type="dxa" w:w="2039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Capability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Scope Status</w:t>
            </w:r>
          </w:p>
        </w:tc>
        <w:tc>
          <w:tcPr>
            <w:tcW w:type="dxa" w:w="193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Dependency / Gate</w:t>
            </w:r>
          </w:p>
        </w:tc>
        <w:tc>
          <w:tcPr>
            <w:tcW w:type="dxa" w:w="142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Business Effect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122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Approval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Promotions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Promotions and governed boosted placement capability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Commercial rules + labeling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Revenue / growth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Content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SEO, route/city content, knowledge-base surfaces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Content ops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Acquisition / support deflection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Ads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Ad surfaces as secondary / optional revenue layer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P2-Gated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Trust rules + labeling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Secondary revenue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Notifications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SMS / WhatsApp / push beyond email baseline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MVP-Gated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Vendor + compliance + market approval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Engagement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Med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Special Inventory</w:t>
            </w:r>
          </w:p>
        </w:tc>
        <w:tc>
          <w:tcPr>
            <w:tcW w:type="dxa" w:w="203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Charter / custom flight inventory module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MVP-Gated</w:t>
            </w:r>
          </w:p>
        </w:tc>
        <w:tc>
          <w:tcPr>
            <w:tcW w:type="dxa" w:w="193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Commercial + supplier + ops approval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Differentiation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High</w:t>
            </w:r>
          </w:p>
        </w:tc>
        <w:tc>
          <w:tcPr>
            <w:tcW w:type="dxa" w:w="122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4. Supply Model Options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2065"/>
        <w:gridCol w:w="2065"/>
        <w:gridCol w:w="2065"/>
        <w:gridCol w:w="2065"/>
        <w:gridCol w:w="2065"/>
      </w:tblGrid>
      <w:tr>
        <w:trPr>
          <w:tblHeader w:val="true"/>
        </w:trPr>
        <w:tc>
          <w:tcPr>
            <w:tcW w:type="dxa" w:w="173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Option</w:t>
            </w:r>
          </w:p>
        </w:tc>
        <w:tc>
          <w:tcPr>
            <w:tcW w:type="dxa" w:w="2854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Description</w:t>
            </w:r>
          </w:p>
        </w:tc>
        <w:tc>
          <w:tcPr>
            <w:tcW w:type="dxa" w:w="142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2447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Rationale</w:t>
            </w:r>
          </w:p>
        </w:tc>
        <w:tc>
          <w:tcPr>
            <w:tcW w:type="dxa" w:w="1835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Approval</w:t>
            </w:r>
          </w:p>
        </w:tc>
      </w:tr>
      <w:tr>
        <w:trPr>
          <w:cantSplit/>
        </w:trPr>
        <w:tc>
          <w:tcPr>
            <w:tcW w:type="dxa" w:w="173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Model S1</w:t>
            </w:r>
          </w:p>
        </w:tc>
        <w:tc>
          <w:tcPr>
            <w:tcW w:type="dxa" w:w="2854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Verteil-first direct-booking launch model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Selected for current baseline</w:t>
            </w:r>
          </w:p>
        </w:tc>
        <w:tc>
          <w:tcPr>
            <w:tcW w:type="dxa" w:w="244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Fastest path that matches Product Model v3 and PRD v3; supports search, booking, servicing, and agent workflows through a single initial backbone.</w:t>
            </w:r>
          </w:p>
        </w:tc>
        <w:tc>
          <w:tcPr>
            <w:tcW w:type="dxa" w:w="183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73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Model S2</w:t>
            </w:r>
          </w:p>
        </w:tc>
        <w:tc>
          <w:tcPr>
            <w:tcW w:type="dxa" w:w="2854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Verteil + additional providers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Later by default</w:t>
            </w:r>
          </w:p>
        </w:tc>
        <w:tc>
          <w:tcPr>
            <w:tcW w:type="dxa" w:w="244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Valid only after current-baseline stabilization; broader supplier mix is explicitly deferred by default.</w:t>
            </w:r>
          </w:p>
        </w:tc>
        <w:tc>
          <w:tcPr>
            <w:tcW w:type="dxa" w:w="183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73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Model S3</w:t>
            </w:r>
          </w:p>
        </w:tc>
        <w:tc>
          <w:tcPr>
            <w:tcW w:type="dxa" w:w="2854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Provider-direct / custom supply expansion</w:t>
            </w:r>
          </w:p>
        </w:tc>
        <w:tc>
          <w:tcPr>
            <w:tcW w:type="dxa" w:w="142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Future / case-by-case</w:t>
            </w:r>
          </w:p>
        </w:tc>
        <w:tc>
          <w:tcPr>
            <w:tcW w:type="dxa" w:w="2447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Only justified where margin, coverage, or strategic leverage outweighs integration and ops complexity.</w:t>
            </w:r>
          </w:p>
        </w:tc>
        <w:tc>
          <w:tcPr>
            <w:tcW w:type="dxa" w:w="183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4.1 Provider / Capability Activation Grid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1721"/>
        <w:gridCol w:w="1721"/>
        <w:gridCol w:w="1721"/>
        <w:gridCol w:w="1721"/>
        <w:gridCol w:w="1721"/>
        <w:gridCol w:w="1721"/>
      </w:tblGrid>
      <w:tr>
        <w:trPr>
          <w:tblHeader w:val="true"/>
        </w:trPr>
        <w:tc>
          <w:tcPr>
            <w:tcW w:type="dxa" w:w="1441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Provider / Capability</w:t>
            </w:r>
          </w:p>
        </w:tc>
        <w:tc>
          <w:tcPr>
            <w:tcW w:type="dxa" w:w="2265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Type</w:t>
            </w:r>
          </w:p>
        </w:tc>
        <w:tc>
          <w:tcPr>
            <w:tcW w:type="dxa" w:w="1338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Phase</w:t>
            </w:r>
          </w:p>
        </w:tc>
        <w:tc>
          <w:tcPr>
            <w:tcW w:type="dxa" w:w="1956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Default Active</w:t>
            </w:r>
          </w:p>
        </w:tc>
        <w:tc>
          <w:tcPr>
            <w:tcW w:type="dxa" w:w="1750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Activation Rule</w:t>
            </w:r>
          </w:p>
        </w:tc>
        <w:tc>
          <w:tcPr>
            <w:tcW w:type="dxa" w:w="1544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Approval</w:t>
            </w:r>
          </w:p>
        </w:tc>
      </w:tr>
      <w:tr>
        <w:trPr>
          <w:cantSplit/>
        </w:trPr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Verteil</w:t>
            </w:r>
          </w:p>
        </w:tc>
        <w:tc>
          <w:tcPr>
            <w:tcW w:type="dxa" w:w="226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Primary provider</w:t>
            </w:r>
          </w:p>
        </w:tc>
        <w:tc>
          <w:tcPr>
            <w:tcW w:type="dxa" w:w="1338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</w:t>
            </w:r>
          </w:p>
        </w:tc>
        <w:tc>
          <w:tcPr>
            <w:tcW w:type="dxa" w:w="195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Yes</w:t>
            </w:r>
          </w:p>
        </w:tc>
        <w:tc>
          <w:tcPr>
            <w:tcW w:type="dxa" w:w="1750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Core baseline</w:t>
            </w:r>
          </w:p>
        </w:tc>
        <w:tc>
          <w:tcPr>
            <w:tcW w:type="dxa" w:w="1544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Additional providers beyond Verteil</w:t>
            </w:r>
          </w:p>
        </w:tc>
        <w:tc>
          <w:tcPr>
            <w:tcW w:type="dxa" w:w="226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Expansion</w:t>
            </w:r>
          </w:p>
        </w:tc>
        <w:tc>
          <w:tcPr>
            <w:tcW w:type="dxa" w:w="1338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Later by default</w:t>
            </w:r>
          </w:p>
        </w:tc>
        <w:tc>
          <w:tcPr>
            <w:tcW w:type="dxa" w:w="195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No</w:t>
            </w:r>
          </w:p>
        </w:tc>
        <w:tc>
          <w:tcPr>
            <w:tcW w:type="dxa" w:w="1750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Requires separate approval</w:t>
            </w:r>
          </w:p>
        </w:tc>
        <w:tc>
          <w:tcPr>
            <w:tcW w:type="dxa" w:w="1544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Corporate / private fare access</w:t>
            </w:r>
          </w:p>
        </w:tc>
        <w:tc>
          <w:tcPr>
            <w:tcW w:type="dxa" w:w="226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Commercial mode</w:t>
            </w:r>
          </w:p>
        </w:tc>
        <w:tc>
          <w:tcPr>
            <w:tcW w:type="dxa" w:w="1338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MVP-Gated</w:t>
            </w:r>
          </w:p>
        </w:tc>
        <w:tc>
          <w:tcPr>
            <w:tcW w:type="dxa" w:w="195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Conditional</w:t>
            </w:r>
          </w:p>
        </w:tc>
        <w:tc>
          <w:tcPr>
            <w:tcW w:type="dxa" w:w="1750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Supplier + commercial approval</w:t>
            </w:r>
          </w:p>
        </w:tc>
        <w:tc>
          <w:tcPr>
            <w:tcW w:type="dxa" w:w="1544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Ancillary depth</w:t>
            </w:r>
          </w:p>
        </w:tc>
        <w:tc>
          <w:tcPr>
            <w:tcW w:type="dxa" w:w="226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Content mode</w:t>
            </w:r>
          </w:p>
        </w:tc>
        <w:tc>
          <w:tcPr>
            <w:tcW w:type="dxa" w:w="1338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MVP-Gated</w:t>
            </w:r>
          </w:p>
        </w:tc>
        <w:tc>
          <w:tcPr>
            <w:tcW w:type="dxa" w:w="195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Conditional</w:t>
            </w:r>
          </w:p>
        </w:tc>
        <w:tc>
          <w:tcPr>
            <w:tcW w:type="dxa" w:w="1750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Supplier support</w:t>
            </w:r>
          </w:p>
        </w:tc>
        <w:tc>
          <w:tcPr>
            <w:tcW w:type="dxa" w:w="1544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Charter/custom inventory</w:t>
            </w:r>
          </w:p>
        </w:tc>
        <w:tc>
          <w:tcPr>
            <w:tcW w:type="dxa" w:w="226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Special inventory</w:t>
            </w:r>
          </w:p>
        </w:tc>
        <w:tc>
          <w:tcPr>
            <w:tcW w:type="dxa" w:w="1338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MVP-Gated</w:t>
            </w:r>
          </w:p>
        </w:tc>
        <w:tc>
          <w:tcPr>
            <w:tcW w:type="dxa" w:w="195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Conditional</w:t>
            </w:r>
          </w:p>
        </w:tc>
        <w:tc>
          <w:tcPr>
            <w:tcW w:type="dxa" w:w="1750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Commercial + ops approval</w:t>
            </w:r>
          </w:p>
        </w:tc>
        <w:tc>
          <w:tcPr>
            <w:tcW w:type="dxa" w:w="1544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5. Phase Definition &amp; Activation Boundaries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3442"/>
        <w:gridCol w:w="3442"/>
        <w:gridCol w:w="3442"/>
      </w:tblGrid>
      <w:tr>
        <w:trPr>
          <w:tblHeader w:val="true"/>
        </w:trPr>
        <w:tc>
          <w:tcPr>
            <w:tcW w:type="dxa" w:w="3366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Phase Bucket</w:t>
            </w:r>
          </w:p>
        </w:tc>
        <w:tc>
          <w:tcPr>
            <w:tcW w:type="dxa" w:w="4554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Definition</w:t>
            </w:r>
          </w:p>
        </w:tc>
        <w:tc>
          <w:tcPr>
            <w:tcW w:type="dxa" w:w="2376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Interpretation</w:t>
            </w:r>
          </w:p>
        </w:tc>
      </w:tr>
      <w:tr>
        <w:trPr>
          <w:cantSplit/>
        </w:trPr>
        <w:tc>
          <w:tcPr>
            <w:tcW w:type="dxa" w:w="336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 baseline</w:t>
            </w:r>
          </w:p>
        </w:tc>
        <w:tc>
          <w:tcPr>
            <w:tcW w:type="dxa" w:w="4554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Verteil-first launch, on-platform checkout, payment gateway, booking continuity, Admin/Agent/User portals, credit ledger, markup, support ticketing, reports, audit, parity search UX</w:t>
            </w:r>
          </w:p>
        </w:tc>
        <w:tc>
          <w:tcPr>
            <w:tcW w:type="dxa" w:w="237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Current baseline</w:t>
            </w:r>
          </w:p>
        </w:tc>
      </w:tr>
      <w:tr>
        <w:trPr>
          <w:cantSplit/>
        </w:trPr>
        <w:tc>
          <w:tcPr>
            <w:tcW w:type="dxa" w:w="336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MVP gated</w:t>
            </w:r>
          </w:p>
        </w:tc>
        <w:tc>
          <w:tcPr>
            <w:tcW w:type="dxa" w:w="4554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Corporate/private fares, held/pay-later paths, servicing depth beyond support-routed handling, SSO timing, SMS/WhatsApp/push, charter inventory</w:t>
            </w:r>
          </w:p>
        </w:tc>
        <w:tc>
          <w:tcPr>
            <w:tcW w:type="dxa" w:w="237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In-scope but activation requires approval</w:t>
            </w:r>
          </w:p>
        </w:tc>
      </w:tr>
      <w:tr>
        <w:trPr>
          <w:cantSplit/>
        </w:trPr>
        <w:tc>
          <w:tcPr>
            <w:tcW w:type="dxa" w:w="336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Phase 2</w:t>
            </w:r>
          </w:p>
        </w:tc>
        <w:tc>
          <w:tcPr>
            <w:tcW w:type="dxa" w:w="4554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Secondary revenue accelerators, deeper merchandising, optional ad surfaces, operational optimization after baseline stabilization</w:t>
            </w:r>
          </w:p>
        </w:tc>
        <w:tc>
          <w:tcPr>
            <w:tcW w:type="dxa" w:w="237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Allowed once trust and operational controls are stable</w:t>
            </w:r>
          </w:p>
        </w:tc>
      </w:tr>
      <w:tr>
        <w:trPr>
          <w:cantSplit/>
        </w:trPr>
        <w:tc>
          <w:tcPr>
            <w:tcW w:type="dxa" w:w="336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Later by default</w:t>
            </w:r>
          </w:p>
        </w:tc>
        <w:tc>
          <w:tcPr>
            <w:tcW w:type="dxa" w:w="4554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Multiple Providers beyond Verteil, AI capabilities</w:t>
            </w:r>
          </w:p>
        </w:tc>
        <w:tc>
          <w:tcPr>
            <w:tcW w:type="dxa" w:w="237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Only default later buckets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6. Risk Acknowledgment &amp; Dependency Declaration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2581"/>
        <w:gridCol w:w="2581"/>
        <w:gridCol w:w="2581"/>
        <w:gridCol w:w="2581"/>
      </w:tblGrid>
      <w:tr>
        <w:trPr>
          <w:tblHeader w:val="true"/>
        </w:trPr>
        <w:tc>
          <w:tcPr>
            <w:tcW w:type="dxa" w:w="1685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3182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Acknowledgment</w:t>
            </w:r>
          </w:p>
        </w:tc>
        <w:tc>
          <w:tcPr>
            <w:tcW w:type="dxa" w:w="2246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Required Mitigation</w:t>
            </w:r>
          </w:p>
        </w:tc>
        <w:tc>
          <w:tcPr>
            <w:tcW w:type="dxa" w:w="3182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Ack.</w:t>
            </w:r>
          </w:p>
        </w:tc>
      </w:tr>
      <w:tr>
        <w:trPr>
          <w:cantSplit/>
        </w:trPr>
        <w:tc>
          <w:tcPr>
            <w:tcW w:type="dxa" w:w="168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Payment and liability exposure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The platform owns checkout and payment-linked states.</w:t>
            </w:r>
          </w:p>
        </w:tc>
        <w:tc>
          <w:tcPr>
            <w:tcW w:type="dxa" w:w="224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Clear merchant-of-record decision, state maps, finance sign-off, refund/reversal procedures.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68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Supplier dependency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Launch is Verteil-first, so supply and servicing depth depend on provider/supplier support.</w:t>
            </w:r>
          </w:p>
        </w:tc>
        <w:tc>
          <w:tcPr>
            <w:tcW w:type="dxa" w:w="224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Activation gates, provider SLAs, routing rules, live route-set validation.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68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Servicing complexity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Refund/change/reschedule depth varies by supplier and market.</w:t>
            </w:r>
          </w:p>
        </w:tc>
        <w:tc>
          <w:tcPr>
            <w:tcW w:type="dxa" w:w="224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Explicit launch-depth decision, support playbooks, partial self-service where safe.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68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Credit exposure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Agent credit introduces financial control and misuse risk.</w:t>
            </w:r>
          </w:p>
        </w:tc>
        <w:tc>
          <w:tcPr>
            <w:tcW w:type="dxa" w:w="224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Approval thresholds, ledger auditability, finance-visible state transitions, exposure caps.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68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Support load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Owning bookings shifts first-line issue responsibility to the platform.</w:t>
            </w:r>
          </w:p>
        </w:tc>
        <w:tc>
          <w:tcPr>
            <w:tcW w:type="dxa" w:w="224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Ticket-led support, routing categories, escalation matrix, staffing-hour decision.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68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Promotions / boosted placement trust risk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Commercial placements can damage trust if not governed.</w:t>
            </w:r>
          </w:p>
        </w:tc>
        <w:tc>
          <w:tcPr>
            <w:tcW w:type="dxa" w:w="224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Labeling, policy rules, audit logs, separation from core ranking decisions.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68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Compliance / retention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Bookings, audit logs, support artifacts, and finance data need explicit retention rules.</w:t>
            </w:r>
          </w:p>
        </w:tc>
        <w:tc>
          <w:tcPr>
            <w:tcW w:type="dxa" w:w="224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Formal data-retention decision, legal/security approval, export/deletion controls.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7. Open Decisions Requiring Formal Approval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3442"/>
        <w:gridCol w:w="3442"/>
        <w:gridCol w:w="3442"/>
      </w:tblGrid>
      <w:tr>
        <w:trPr>
          <w:tblHeader w:val="true"/>
        </w:trPr>
        <w:tc>
          <w:tcPr>
            <w:tcW w:type="dxa" w:w="3501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Decision Item</w:t>
            </w:r>
          </w:p>
        </w:tc>
        <w:tc>
          <w:tcPr>
            <w:tcW w:type="dxa" w:w="4736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What must be finalized</w:t>
            </w:r>
          </w:p>
        </w:tc>
        <w:tc>
          <w:tcPr>
            <w:tcW w:type="dxa" w:w="2059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Approval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Merchant-of-record and settlement design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Who is financially liable, how customer payment settles against supplier obligations, and what MoR model governs launch.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Payment methods by market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Card and other payment methods approved for MVP by country/market.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Credit policy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Top-up, reservation, release, adjustment, exposure thresholds, and approval authorities.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Corporate / private fare activation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Which markets, suppliers, and user groups may access them.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Servicing depth at launch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What is self-service vs routed to support for cancel/refund/change/reschedule.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Notification channel mix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Email-only baseline or approved inclusion of SMS / WhatsApp / push.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SSO activation timing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Mandatory at launch for some roles or phased after MVP.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Charter/custom inventory activation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Dark launch, partial launch, or later launch decision.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Support operating model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SLA, staffing hours, escalation policy, and supplier coordination playbook.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Data retention policy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Retention durations for search, booking, audit, support, and financial artifacts.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8. System Integrity &amp; Release Readiness Approvals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3442"/>
        <w:gridCol w:w="3442"/>
        <w:gridCol w:w="3442"/>
      </w:tblGrid>
      <w:tr>
        <w:trPr>
          <w:tblHeader w:val="true"/>
        </w:trPr>
        <w:tc>
          <w:tcPr>
            <w:tcW w:type="dxa" w:w="3501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Go-Live Gate</w:t>
            </w:r>
          </w:p>
        </w:tc>
        <w:tc>
          <w:tcPr>
            <w:tcW w:type="dxa" w:w="4736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Success condition</w:t>
            </w:r>
          </w:p>
        </w:tc>
        <w:tc>
          <w:tcPr>
            <w:tcW w:type="dxa" w:w="2059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Approval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In-scope features implemented and tested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All approved MVP baseline items are built and QA-complete.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Payment and booking state linkage verified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Finance and support can trace one booking end-to-end.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Booking management visible in portal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Consumer/Agent/Admin critical journeys work.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Support ticketing operational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Ticket categories, routing, and escalation are live.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Admin controls and audit logs operational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Sensitive actions are reconstructable.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Provider credentials configured for live route set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Live launch coverage is explicitly approved.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Rollback approach rehearsed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Operational recovery path tested before go-live.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Role matrix delivered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Permissions are documented and signed off.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Support workflow guide delivered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Support can triage real incidents.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Payment / booking state map delivered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Ambiguous transaction states are not allowed.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Credit lifecycle guide delivered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Finance and Ops approve the end-to-end lifecycle.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Incident / health dashboard guide delivered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Observability thresholds and response ownership are defined.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Data export / report guide delivered</w:t>
            </w:r>
          </w:p>
        </w:tc>
        <w:tc>
          <w:tcPr>
            <w:tcW w:type="dxa" w:w="473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Operational and finance exports are usable.</w:t>
            </w:r>
          </w:p>
        </w:tc>
        <w:tc>
          <w:tcPr>
            <w:tcW w:type="dxa" w:w="2059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9. Later-by-Default Record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2581"/>
        <w:gridCol w:w="2581"/>
        <w:gridCol w:w="2581"/>
        <w:gridCol w:w="2581"/>
      </w:tblGrid>
      <w:tr>
        <w:trPr>
          <w:tblHeader w:val="true"/>
        </w:trPr>
        <w:tc>
          <w:tcPr>
            <w:tcW w:type="dxa" w:w="1685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Capability Bucket</w:t>
            </w:r>
          </w:p>
        </w:tc>
        <w:tc>
          <w:tcPr>
            <w:tcW w:type="dxa" w:w="3182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2246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Interpretation</w:t>
            </w:r>
          </w:p>
        </w:tc>
        <w:tc>
          <w:tcPr>
            <w:tcW w:type="dxa" w:w="3182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Approval</w:t>
            </w:r>
          </w:p>
        </w:tc>
      </w:tr>
      <w:tr>
        <w:trPr>
          <w:cantSplit/>
        </w:trPr>
        <w:tc>
          <w:tcPr>
            <w:tcW w:type="dxa" w:w="168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Multiple Providers beyond Verteil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Later by default</w:t>
            </w:r>
          </w:p>
        </w:tc>
        <w:tc>
          <w:tcPr>
            <w:tcW w:type="dxa" w:w="224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Not current-baseline MVP scope. Requires separate commercial, architectural, and ops approval to pull forward.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685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AI capabilities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Later by default</w:t>
            </w:r>
          </w:p>
        </w:tc>
        <w:tc>
          <w:tcPr>
            <w:tcW w:type="dxa" w:w="2246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Not required for baseline operation. Any AI activation must be treated as additive and separately approved.</w:t>
            </w:r>
          </w:p>
        </w:tc>
        <w:tc>
          <w:tcPr>
            <w:tcW w:type="dxa" w:w="3182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1"/>
        <w:spacing w:before="200" w:after="80"/>
        <w:pBdr>
          <w:bottom w:val="single" w:sz="8" w:space="1" w:color="1F4E79"/>
        </w:pBdr>
      </w:pPr>
      <w:r>
        <w:rPr>
          <w:color w:val="1F4E79"/>
        </w:rPr>
        <w:t>10. Signature &amp; Approval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2581"/>
        <w:gridCol w:w="2581"/>
        <w:gridCol w:w="2581"/>
        <w:gridCol w:w="2581"/>
      </w:tblGrid>
      <w:tr>
        <w:trPr>
          <w:tblHeader w:val="true"/>
        </w:trPr>
        <w:tc>
          <w:tcPr>
            <w:tcW w:type="dxa" w:w="1853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Approving Role</w:t>
            </w:r>
          </w:p>
        </w:tc>
        <w:tc>
          <w:tcPr>
            <w:tcW w:type="dxa" w:w="3501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Name / Signature</w:t>
            </w:r>
          </w:p>
        </w:tc>
        <w:tc>
          <w:tcPr>
            <w:tcW w:type="dxa" w:w="1441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Date</w:t>
            </w:r>
          </w:p>
        </w:tc>
        <w:tc>
          <w:tcPr>
            <w:tcW w:type="dxa" w:w="3501"/>
            <w:vAlign w:val="center"/>
            <w:shd w:fill="1F4E79"/>
            <w:tcMar>
              <w:top w:w="70" w:type="dxa"/>
              <w:start w:w="85" w:type="dxa"/>
              <w:bottom w:w="70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40" w:lineRule="auto"/>
              <w:jc w:val="center"/>
            </w:pPr>
            <w:r>
              <w:rPr>
                <w:rFonts w:ascii="Aptos" w:hAnsi="Aptos"/>
                <w:b/>
                <w:color w:val="FFFFFF"/>
                <w:sz w:val="16"/>
              </w:rPr>
              <w:t>Approved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Product Owner / Head of Product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Commercial Director / Partnerships Lead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Engineering / Delivery Lead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  <w:tr>
        <w:trPr>
          <w:cantSplit/>
        </w:trPr>
        <w:tc>
          <w:tcPr>
            <w:tcW w:type="dxa" w:w="1853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  <w:t>Finance / Operations Approval</w:t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left"/>
            </w:pPr>
            <w:r>
              <w:rPr>
                <w:rFonts w:ascii="Aptos" w:hAnsi="Aptos"/>
                <w:color w:val="1F1F1F"/>
                <w:sz w:val="16"/>
              </w:rPr>
            </w:r>
          </w:p>
        </w:tc>
        <w:tc>
          <w:tcPr>
            <w:tcW w:type="dxa" w:w="144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</w:r>
          </w:p>
        </w:tc>
        <w:tc>
          <w:tcPr>
            <w:tcW w:type="dxa" w:w="3501"/>
            <w:vAlign w:val="center"/>
            <w:tcMar>
              <w:top w:w="65" w:type="dxa"/>
              <w:start w:w="85" w:type="dxa"/>
              <w:bottom w:w="65" w:type="dxa"/>
              <w:end w:w="85" w:type="dxa"/>
            </w:tcMar>
            <w:tcBorders>
              <w:top w:val="single" w:sz="6" w:color="B6C7D6"/>
              <w:left w:val="single" w:sz="6" w:color="B6C7D6"/>
              <w:bottom w:val="single" w:sz="6" w:color="B6C7D6"/>
              <w:right w:val="single" w:sz="6" w:color="B6C7D6"/>
            </w:tcBorders>
          </w:tcPr>
          <w:p>
            <w:pPr>
              <w:spacing w:before="20" w:after="20" w:line="250" w:lineRule="auto"/>
              <w:jc w:val="center"/>
            </w:pPr>
            <w:r>
              <w:rPr>
                <w:rFonts w:ascii="Aptos" w:hAnsi="Aptos"/>
                <w:color w:val="1F1F1F"/>
                <w:sz w:val="16"/>
              </w:rPr>
              <w:t>☐</w:t>
            </w:r>
          </w:p>
        </w:tc>
      </w:tr>
    </w:tbl>
    <w:p>
      <w:pPr>
        <w:spacing w:after="40"/>
      </w:pPr>
    </w:p>
    <w:p>
      <w:pPr>
        <w:pStyle w:val="Heading2"/>
        <w:spacing w:before="120" w:after="80"/>
      </w:pPr>
      <w:r>
        <w:rPr>
          <w:color w:val="1F4E79"/>
        </w:rPr>
        <w:t>Scope-Freeze Acknowledgment</w:t>
      </w:r>
    </w:p>
    <w:p>
      <w:pPr>
        <w:pStyle w:val="ListBullet"/>
        <w:spacing w:after="40" w:line="269" w:lineRule="auto"/>
      </w:pPr>
      <w:r>
        <w:rPr>
          <w:rFonts w:ascii="Aptos" w:hAnsi="Aptos"/>
          <w:color w:val="1F1F1F"/>
          <w:sz w:val="19"/>
        </w:rPr>
        <w:t>☐ We approve the selected product model, supply model, checkout model, current scope classification, and later-by-default record documented above.</w:t>
      </w:r>
    </w:p>
    <w:p>
      <w:pPr>
        <w:pStyle w:val="ListBullet"/>
        <w:spacing w:after="40" w:line="269" w:lineRule="auto"/>
      </w:pPr>
      <w:r>
        <w:rPr>
          <w:rFonts w:ascii="Aptos" w:hAnsi="Aptos"/>
          <w:color w:val="1F1F1F"/>
          <w:sz w:val="19"/>
        </w:rPr>
        <w:t>☐ We acknowledge the operational, financial, support, and compliance risks listed in Section 6.</w:t>
      </w:r>
    </w:p>
    <w:p>
      <w:pPr>
        <w:pStyle w:val="ListBullet"/>
        <w:spacing w:after="40" w:line="269" w:lineRule="auto"/>
      </w:pPr>
      <w:r>
        <w:rPr>
          <w:rFonts w:ascii="Aptos" w:hAnsi="Aptos"/>
          <w:color w:val="1F1F1F"/>
          <w:sz w:val="19"/>
        </w:rPr>
        <w:t>☐ We agree that gated modules may not be activated without the relevant formal approvals recorded in Section 7.</w:t>
      </w:r>
    </w:p>
    <w:sectPr w:rsidR="00FC693F" w:rsidRPr="0006063C" w:rsidSect="00034616">
      <w:footerReference w:type="default" r:id="rId9"/>
      <w:pgSz w:w="11909" w:h="16834"/>
      <w:pgMar w:top="864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6B7B"/>
        <w:sz w:val="16"/>
      </w:rPr>
      <w:t>Product Scope Approval Register v3.0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Scope Approval Register v3.0</dc:title>
  <dc:subject>Product scope freeze and approval register aligned to Product Model v3 and PRD v3</dc:subject>
  <dc:creator>OpenAI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